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0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0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proofErr w:type="spellStart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Россотрудничество</w:t>
      </w:r>
      <w:proofErr w:type="spellEnd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общественно-политическим, воспитательным, просветительским, культурным, досуговым и спортивным 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r w:rsidR="007A6899" w:rsidRPr="00B74875">
        <w:rPr>
          <w:rFonts w:ascii="Times New Roman" w:hAnsi="Times New Roman"/>
          <w:sz w:val="32"/>
          <w:szCs w:val="32"/>
        </w:rPr>
        <w:t xml:space="preserve">ресоциализацию и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реинтеграцию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>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территориальными органами МВД России и </w:t>
      </w:r>
      <w:proofErr w:type="spellStart"/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Росфинмониторинга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="00A0334D" w:rsidRPr="00B74875">
        <w:rPr>
          <w:rFonts w:ascii="Times New Roman" w:hAnsi="Times New Roman"/>
          <w:sz w:val="32"/>
          <w:szCs w:val="32"/>
          <w:lang w:eastAsia="ru-RU"/>
        </w:rPr>
        <w:t>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proofErr w:type="spellEnd"/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, 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proofErr w:type="spellStart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Минобрнауки России и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РАНХиГС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учебно-методические центры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>обучающих мероприятий (конференции, форумы, 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>и психологов образовательных организаций</w:t>
      </w:r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Росгвардией,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5A" w:rsidRDefault="0067395A" w:rsidP="00287B15">
      <w:pPr>
        <w:spacing w:after="0" w:line="240" w:lineRule="auto"/>
      </w:pPr>
      <w:r>
        <w:separator/>
      </w:r>
    </w:p>
  </w:endnote>
  <w:endnote w:type="continuationSeparator" w:id="0">
    <w:p w:rsidR="0067395A" w:rsidRDefault="0067395A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5A" w:rsidRDefault="0067395A" w:rsidP="00287B15">
      <w:pPr>
        <w:spacing w:after="0" w:line="240" w:lineRule="auto"/>
      </w:pPr>
      <w:r>
        <w:separator/>
      </w:r>
    </w:p>
  </w:footnote>
  <w:footnote w:type="continuationSeparator" w:id="0">
    <w:p w:rsidR="0067395A" w:rsidRDefault="0067395A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B718AA">
      <w:rPr>
        <w:rFonts w:ascii="Times New Roman" w:hAnsi="Times New Roman"/>
        <w:noProof/>
        <w:sz w:val="28"/>
        <w:szCs w:val="28"/>
      </w:rPr>
      <w:t>33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5A1F-8834-4281-A4D3-253C158A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2024-01-16T16:39:00Z</dcterms:created>
  <dcterms:modified xsi:type="dcterms:W3CDTF">2024-02-05T13:33:00Z</dcterms:modified>
</cp:coreProperties>
</file>